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5"/>
        <w:gridCol w:w="2100"/>
        <w:gridCol w:w="1535"/>
        <w:gridCol w:w="1639"/>
        <w:gridCol w:w="230"/>
        <w:gridCol w:w="311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9" w:hRule="atLeast"/>
        </w:trPr>
        <w:tc>
          <w:tcPr>
            <w:tcW w:w="4650" w:type="dxa"/>
            <w:gridSpan w:val="3"/>
            <w:shd w:val="clear" w:color="auto" w:fill="auto"/>
          </w:tcPr>
          <w:p>
            <w:pPr>
              <w:pStyle w:val="55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6075" cy="1009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50" r="-18" b="-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009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>
            <w:pPr>
              <w:pStyle w:val="55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>
            <w:pPr>
              <w:pStyle w:val="55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9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6" r="-27" b="-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5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>
            <w:pPr>
              <w:pStyle w:val="55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4475" cy="352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27" r="-6" b="-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5" w:type="dxa"/>
            <w:shd w:val="clear" w:color="auto" w:fill="auto"/>
          </w:tcPr>
          <w:p>
            <w:pPr>
              <w:pStyle w:val="55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>
            <w:pPr>
              <w:pStyle w:val="55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>
            <w:pPr>
              <w:pStyle w:val="55"/>
            </w:pP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PI0626 – ISO9001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5" w:type="dxa"/>
            <w:shd w:val="clear" w:color="auto" w:fill="auto"/>
          </w:tcPr>
          <w:p>
            <w:pPr>
              <w:pStyle w:val="55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</w:pPr>
            <w:r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  <w:jc w:val="center"/>
            </w:pPr>
            <w:r>
              <w:rPr>
                <w:rFonts w:ascii="Calibri" w:hAnsi="Calibri"/>
                <w:sz w:val="20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  <w:jc w:val="right"/>
            </w:pPr>
            <w:r>
              <w:rPr>
                <w:rFonts w:ascii="Calibri" w:hAnsi="Calibri"/>
                <w:sz w:val="20"/>
              </w:rPr>
              <w:t xml:space="preserve">PEC: </w:t>
            </w:r>
            <w:r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/>
    <w:p/>
    <w:p>
      <w:pPr>
        <w:pStyle w:val="53"/>
        <w:jc w:val="center"/>
        <w:rPr>
          <w:rFonts w:hint="default"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>PIANO DI LAVORO ANNUALE DEL DOCENTE  A. S. 202</w:t>
      </w:r>
      <w:r>
        <w:rPr>
          <w:rFonts w:hint="default"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</w:rPr>
        <w:t>-2</w:t>
      </w:r>
      <w:r>
        <w:rPr>
          <w:rFonts w:hint="default" w:ascii="Arial" w:hAnsi="Arial" w:cs="Arial"/>
          <w:sz w:val="28"/>
          <w:szCs w:val="28"/>
          <w:lang w:val="it-IT"/>
        </w:rPr>
        <w:t>4</w:t>
      </w:r>
    </w:p>
    <w:p>
      <w:pPr>
        <w:pStyle w:val="53"/>
        <w:rPr>
          <w:rFonts w:ascii="Arial" w:hAnsi="Arial" w:cs="Arial"/>
          <w:sz w:val="28"/>
          <w:szCs w:val="28"/>
        </w:rPr>
      </w:pPr>
    </w:p>
    <w:tbl>
      <w:tblPr>
        <w:tblStyle w:val="8"/>
        <w:tblW w:w="10283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70"/>
        <w:gridCol w:w="5110"/>
        <w:gridCol w:w="290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Nome e cognome del docente    TIZIANA GHELARDINI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Disciplina  insegnata ITALIANO E STORIA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Classe e Sez .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4 A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Indirizzo di studio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CAT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 xml:space="preserve">N. studenti   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  <w:lang w:val="it-IT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it-IT"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4"/>
              <w:numPr>
                <w:ilvl w:val="0"/>
                <w:numId w:val="2"/>
              </w:numPr>
              <w:spacing w:after="0" w:line="100" w:lineRule="atLeast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- Obiettivi trasversali indicati nel documento di programmazione di classe e individuati dal dipartimento</w:t>
            </w:r>
          </w:p>
          <w:p>
            <w:pPr>
              <w:jc w:val="both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COMPETENZE ED OBIETTIVI TRASVERSALI PROGRAMMATI DAL DIPARTIMENTO UMANISTICO</w:t>
            </w:r>
          </w:p>
          <w:p>
            <w:pPr>
              <w:jc w:val="both"/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  <w:t>Competenze ed Obiettivi educatvi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Il Dipartimento individua i seguenti obiettivi educativi con relative competenze: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78"/>
              <w:gridCol w:w="196"/>
              <w:gridCol w:w="2214"/>
              <w:gridCol w:w="39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051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Competenze chiave e obiettivi educativi trasversali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37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PROGETTARE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AGIRE IN MODO AUTONOMO E RESPONSABILE</w:t>
                  </w: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RISOLVERE I PROBLEMI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INDIVIDUARE COLLEGAMENTI E RELAZIONI</w:t>
                  </w:r>
                </w:p>
              </w:tc>
              <w:tc>
                <w:tcPr>
                  <w:tcW w:w="392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COMUNICARE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COLLABORARE E PARTECIPARE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ACQUISIRE E INTERPRETARE L’INFORMAZIONE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6" w:hRule="atLeast"/>
              </w:trPr>
              <w:tc>
                <w:tcPr>
                  <w:tcW w:w="41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Motivare gli alunni allo studio e far maturare in loro il senso di responsabilità e di partecipazione attiva, nel rispetto delle regole della comunità scolastica.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consapevoli dei propri punti di forza e di debolezza.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Utilizzare i propri errori per attuare strategie di miglioramento.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Valutare tutte le variabili e gli aspetti al fine di ottimizzare le scelte.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 decidere e agire in un contesto dato.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Acquisire l’abitudine a ragionare con rigore logico, ad indentificare i problemi e ad individuare le possibili soluzioni.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in grado di rapportarsi con la realtà in modo critico e flessibile, riconoscendo e rispettando la diversità delle esperienze e delle culture, per avviarsi alla ricerca di un’identità personale e alla formazione di valori.</w:t>
                  </w:r>
                </w:p>
              </w:tc>
              <w:tc>
                <w:tcPr>
                  <w:tcW w:w="3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tabs>
                      <w:tab w:val="left" w:pos="3012"/>
                    </w:tabs>
                    <w:snapToGrid w:val="0"/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Partecipare in modo propositivo al dialogo educativo, intervenendo senza sovrapposizione e rispettando i ruoli.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Porsi in relazione con gli altri in modo corretto e leale, accettando critiche, rispettando le opinioni altrui e ammettendo i propri errori.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Socializzare con i compagni e con i docenti.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Applicare correttamente le regole apprese.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 distinguere ciò che è utile/fondamentale da ciò che non lo è.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Pianificare i comportamenti sulla base delle possibili conseguenze.</w:t>
                  </w:r>
                </w:p>
              </w:tc>
            </w:tr>
          </w:tbl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  <w:t>Competenze ed Obiettivi cognitivi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1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05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Il Dipartimento ritiene che gli studenti debbano acquisire le competenze chiave della cittadinanza necessarie per entrare da protagonisti nella vita del domani e nel mondo del lavoro e valuta opportuno consolidare ed approfondire le competenze comunque acquisite negli anni precedenti, sviluppandole e potenziandole per affrontare le sfide del triennio. Individua quindi come competenze chiave: </w:t>
                  </w: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 acquisire un metodo di studio, progettare, comunicare, collaborare e partecipare, agire in modo autonomo e responsabile, risolvere problemi, individuare collegamenti e relazioni, acquisire ed interpretare informazioni</w:t>
                  </w: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.</w:t>
                  </w: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Le competenze saranno articolate facendo riferimento agli obiettivi relativi ai principali assi culturali.</w:t>
                  </w: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0"/>
                <w:u w:val="single"/>
              </w:rPr>
              <w:t>COMPETENZE CHIAVE-TRASVERSALI</w:t>
            </w: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0"/>
              <w:gridCol w:w="775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  <w:t>COMPETENZE CHIAVE</w:t>
                  </w:r>
                </w:p>
              </w:tc>
              <w:tc>
                <w:tcPr>
                  <w:tcW w:w="7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  <w:t>OBIETTIVI COGNITIVI TRASVERSALI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    Progettare</w:t>
                  </w:r>
                </w:p>
                <w:p>
                  <w:pP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di: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organizzare e gestire il proprio apprendimento individuando, scegliendo ed utilizzando varie fonti e varie modalità di informazione e di formazione (formale, non formale ed informale), anche in funzione dei tempi disponibili, delle proprie strategie e del proprio metodo di studio e di lavoro;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542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       utilizzare un proprio metodo di studio e di lavoro;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elaborare e realizzare attività seguendo la logica della progettazione,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      </w:r>
                </w:p>
                <w:p>
                  <w:pPr>
                    <w:ind w:left="397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         Comunicare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Collaborare/partecipare</w:t>
                  </w:r>
                </w:p>
                <w:p>
                  <w:pPr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 :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adeguare le modalità di comunicazione all’interlocutore;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lavorare e interagire con gli altri in precise e specifiche attività collettive;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riconoscere il contributo del lavoro altrui;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Sapersi inserire in modo attivo e consapevole nella vita sociale e far valere al suo interno i propri diritti e bisogni riconoscendo al contempo quelli altrui, le opportunità comuni, i limiti, le regole, le responsabilità.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ind w:left="39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Risolvere problemi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Individuare collegamenti e relazioni</w:t>
                  </w:r>
                </w:p>
                <w:p>
                  <w:pPr>
                    <w:pStyle w:val="54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Acquisire/interpretare l’informazione ricevuta</w:t>
                  </w: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di:</w:t>
                  </w:r>
                </w:p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comprendere, interpretare ed intervenire in modo personale rispetto agli eventi che si presentano. Affrontare situazioni problematiche costruendo e verificando ipotesi, individuando le fonti e le risorse adeguate, accogliendo e valutando i dati, proponendo soluzioni, utilizzando, secondo il tipo di problema, contenuti e metodi delle diverse discipline;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applicare tecniche e metodologie note a contesti nuovi;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strutturare dati e/o informazioni in relazione agli obiettivi.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acquisire ed interpretare criticamente l'informazione ricevuta nei diversi ambiti ed attraverso diversi strumenti comunicativi, valutandone l’attendibilità e l’utilità, distinguendo fatti e opinioni.</w:t>
                  </w:r>
                </w:p>
                <w:p>
                  <w:pPr>
                    <w:ind w:left="72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54"/>
              <w:spacing w:after="0" w:line="100" w:lineRule="atLeast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54"/>
              <w:spacing w:after="0" w:line="100" w:lineRule="atLeast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Breve profilo della classe a livello disciplinare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>
            <w:pPr>
              <w:jc w:val="both"/>
              <w:rPr>
                <w:rFonts w:hint="default" w:ascii="Calibri" w:hAnsi="Calibri" w:eastAsia="DejaVu Sans" w:cs="Calibri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hint="default" w:ascii="Calibri" w:hAnsi="Calibri" w:eastAsia="DejaVu Sans" w:cs="Calibri"/>
                <w:b/>
                <w:kern w:val="1"/>
                <w:sz w:val="20"/>
                <w:szCs w:val="20"/>
                <w:lang w:eastAsia="zh-CN" w:bidi="hi-IN"/>
              </w:rPr>
              <w:t>Composizione e breve storia della classe</w:t>
            </w:r>
          </w:p>
          <w:p>
            <w:pPr>
              <w:jc w:val="both"/>
              <w:rPr>
                <w:rFonts w:hint="default" w:ascii="Calibri" w:hAnsi="Calibri" w:eastAsia="DejaVu Sans" w:cs="Calibri"/>
                <w:b/>
                <w:kern w:val="1"/>
                <w:sz w:val="20"/>
                <w:szCs w:val="20"/>
                <w:lang w:val="it-IT" w:eastAsia="zh-CN" w:bidi="hi-IN"/>
              </w:rPr>
            </w:pPr>
            <w:r>
              <w:rPr>
                <w:rFonts w:hint="default" w:ascii="Calibri" w:hAnsi="Calibri" w:eastAsia="DejaVu Sans" w:cs="Calibri"/>
                <w:b/>
                <w:bCs/>
                <w:kern w:val="1"/>
                <w:sz w:val="20"/>
                <w:szCs w:val="20"/>
                <w:lang w:val="it-IT" w:eastAsia="zh-CN" w:bidi="hi-IN"/>
              </w:rPr>
              <w:t>La classe è composta da 15 elementi: 4 studentesse e 11 studenti, 14 provenienti dalla 3A e una studentessa proveniente da Lucca, ripetente il 4 anno.</w:t>
            </w:r>
          </w:p>
          <w:p>
            <w:pPr>
              <w:keepNext/>
              <w:keepLines/>
              <w:numPr>
                <w:ilvl w:val="0"/>
                <w:numId w:val="1"/>
              </w:numPr>
              <w:tabs>
                <w:tab w:val="left" w:pos="432"/>
                <w:tab w:val="clear" w:pos="0"/>
              </w:tabs>
              <w:spacing w:before="200"/>
              <w:ind w:left="0" w:firstLine="0"/>
              <w:jc w:val="both"/>
              <w:outlineLvl w:val="3"/>
              <w:rPr>
                <w:rFonts w:hint="default" w:ascii="Calibri" w:hAnsi="Calibri" w:cs="Calibri" w:eastAsiaTheme="majorEastAsia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hint="default" w:ascii="Calibri" w:hAnsi="Calibri" w:cs="Calibri" w:eastAsiaTheme="majorEastAsia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  <w:t>Eventuali osservazioni su comportamenti e atteggiamenti</w:t>
            </w:r>
          </w:p>
          <w:p>
            <w:pPr>
              <w:jc w:val="both"/>
              <w:rPr>
                <w:rFonts w:hint="default" w:ascii="Calibri" w:hAnsi="Calibri" w:eastAsia="DejaVu Sans" w:cs="Calibr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hint="default" w:ascii="Calibri" w:hAnsi="Calibri" w:eastAsia="DejaVu Sans" w:cs="Calibri"/>
                <w:b/>
                <w:bCs/>
                <w:kern w:val="1"/>
                <w:sz w:val="20"/>
                <w:szCs w:val="20"/>
                <w:lang w:eastAsia="zh-CN" w:bidi="hi-IN"/>
              </w:rPr>
              <w:t>La classe si mostra generalmente collaborativa e interessata al dialogo didattico educativo. Solo pochi elementi mostrano talvolta qualche insofferenza al normale svolgimento delle lezioni. Rispetto allo scorso anno evidenzia una maggiore maturità e senso di responsabilità</w:t>
            </w:r>
          </w:p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Indicare le competenze che si intende sviluppare o i traguardi di competenza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(fare riferimento alle Linee Guida e ai documenti dei dipartimenti)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• individuare e utilizzare gli strumenti di comunicazione e di team working più appropriati per intervenire nei contesti organizzativi e professionali di riferimento; 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• redigere relazioni tecniche e documentare le attività individuali e di gruppo relative a situazioni professionali;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• utilizzare gli strumenti culturali e metodologici per porsi con atteggiamento razionale, critico e responsabile di fronte alla realtà, ai suoi fenomeni, ai suoi problemi, anche ai fini dell’apprendimento permanente.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Descrizione di conoscenze e abilità, suddivise in unità di apprendimento o didattiche, evidenziando per ognuna quelle essenziali o minime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ITALIANO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hint="default" w:ascii="Calibri" w:hAnsi="Calibri" w:cs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ascii="Calibri" w:hAnsi="Calibri" w:cs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Competenze essenziali/minime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Conoscenze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Lingua Radici storiche ed evoluzione della lingua italiana dal Medioevo all’Unità nazionale. Rapporto tra lingua e letteratura. Lingua letteraria e linguaggi della scienza e della tecnologia. Fonti dell’informazione e della documentazione. Tecniche della comunicazione. Caratteristiche e struttura di testi scritti e repertori di testi specialistici. Criteri per la redazione di un rapporto e di una relazione. Caratteri comunicativi di un testo multimediale.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Linee di evoluzione della cultura e del sistema letterario italiano dalle origini all’Unità nazionale. Testi ed autori fondamentali che caratterizzano l’identità culturale nazionale italiana nelle varie epoche. Significative opere letterarie, artistiche e scientifiche anche di autori internazionali nelle varie epoche. Elementi di identità e di diversità tra la cultura italiana e le culture di altri Paesi. Fonti di documentazione letteraria; siti web dedicati alla letteratura. Tecniche di ricerca, catalogazione e produzione multimediale di testi e documenti letterari.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Abilità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professionali. Raccogliere, selezionare ed utilizzare informazioni utili all’attività di ricerca di testi letterari, artistici, scientifici e tecnologici. Produrre testi scritti di diversa tipologia e complessità. Ideare e realizzare testi multimediali su tematiche culturali, di studio e professionali.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Storia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competenze: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• correlare la conoscenza storica generale agli sviluppi delle scienze, delle tecnologie e delle tecniche negli specifici campi professionali di riferimento.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Conoscenze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Principali persistenze e processi di trasformazione tra il secolo XI e il secolo XIX in Italia, in Europa e nel mondo. Evoluzione dei sistemi politico-istituzionali ed economici, con riferimenti agli aspetti demografici, sociali e culturali. Principali persistenze e mutamenti culturali in ambito religioso e laico. Innovazioni scientifiche e tecnologiche: fattori e contesti di riferimento. Territorio come fonte storica: tessuto socio-economico e patrimonio ambientale, culturale e artistico. Aspetti della storia locale quali configurazioni della storia generale. Diverse interpretazioni storiografiche di grandi processi di trasformazione (es.: riforme e rivoluzioni). Lessico delle scienze storico-sociali. Categorie e metodi della ricerca storica (es.: analisi di fonti; modelli interpretativi; periodizzazione). Strumenti della ricerca e della divulgazione storica (es.: vari tipi di fonti, carte geo-storiche e tematiche, mappe, statistiche e grafici, manuali, testi divulgativi multimediali, siti Web )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. Abilità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fattori e strumenti che hanno favorito le innovazioni scientifiche e tecnologiche. Individuare l’evoluzione sociale, culturale ed ambientale del territorio con riferimenti ai contesti nazionali e internazionali. Leggere ed interpretare gli aspetti della storia locale in relazione alla storia generale. Analizzare e confrontare testi di diverso orientamento storiografico. Utilizzare il lessico delle scienze storico-sociali. Utilizzare ed applicare categorie, metodi e strumenti della ricerca storica in contesti laboratoriali ed operativi. Utilizzare fonti storiche di diversa tipologia (es.: visive, multimediali e siti web dedicati) per produrre ricerche su tematiche storiche.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Contenuti per il IV anno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Letteratur</w:t>
            </w: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a: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 fra 500 e 600: filone idealizzante (i poemi cavallereschi di Ariosto e Tasso), il teatro e la letteratura scientifica (Galileo). L’illuminismo. Fra Neoclassicismo e Romanticismo.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Storia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Riforma e Controriforma. L’Europa nel 5/600, le guerre di religione e i nuovi assetti internazionali. La Francia di Luigi XIV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L’Inghilterra di Elisabetta I; verso la rivoluzione scientifica; l’Illuminismo e l’età delle Rivoluzioni,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l’Italia preunitaria. L’Unità d’Italia.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Attività o moduli didattici concordati nel CdC a livello interdisciplinare: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Conoscenza e rispetto del patrimonio artistico, culturale e ambientale; eco sostenibilità.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i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Tipologie di verifica, elaborati ed esercitazioni 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Quelli previsti dal dipartimento e dal PTOF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Criteri per le valutazioni 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0"/>
                <w:szCs w:val="20"/>
              </w:rPr>
              <w:t>A quanto previsto nel Pof si aggiunge che sarà data particolare valore alla partecipazione alle lezioni con interventi pertinenti. Sarà data importanza anche alla produzione di presentazioni multimediali.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after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Metodi e strategie didattiche 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STRATEGIE METODOLOGICHE COMUNI </w:t>
            </w:r>
          </w:p>
          <w:p>
            <w:pPr>
              <w:pStyle w:val="1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Il Dipartimento concorda le seguenti strategie metodologiche comuni da mettere in atto per il conseguimento delle competenze e degli obiettivi trasversali formulati. </w:t>
            </w:r>
          </w:p>
          <w:p>
            <w:pPr>
              <w:pStyle w:val="1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Per conseguire gli obiettivi prefissati i docenti: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perseguiranno gli obiettivi condivisi nel consiglio di classe;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saranno coerenti nello sviluppo della programmazione in classe con le finalità e gli obiettivi generali del POF e con quelli specifici disciplinari;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costruiranno una verticalità didattica in cui seguire e potenziare il processo formativo degli studenti;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coinvolgeranno nel percorso formativo tutti i soggetti presenti nella scuola e promuoveranno la cultura della collaborazione e della condivisione;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organizzeranno lezioni che utilizzino al meglio la molteplicità dei linguaggi comunicativi;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Laddove si renderà necessario utilizzeranno la classe come risorsa in apprendimenti e attività laboratoriali in piccoli gruppi, attività di coppia, attività di tutoring e aiuto tra pari, attività di cooperative learnig;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Forniranno, all’occorrenza, spiegazioni individualizzate;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Rispetteranno i tempi di assimilazione dei contenuti disciplinari;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Proporranno i contenuti disciplinari in modo "problematico", per stimolare l'interesse e la partecipazione attiva dei discenti;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Stimoleranno l’interesse degli studenti tramite la discussione ed il confronto;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Punteranno, laddove necessario, ad un lavoro interdisciplinare attraverso la collaborazione dei docenti delle singole discipline ed in osservanza a quanto disposto dai progetti approvati dal collegio.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Pisa li …20 novembre 202</w:t>
      </w:r>
      <w:r>
        <w:rPr>
          <w:rFonts w:hint="default" w:ascii="Arial" w:hAnsi="Arial" w:cs="Arial"/>
          <w:sz w:val="20"/>
          <w:lang w:val="it-IT"/>
        </w:rPr>
        <w:t>3</w:t>
      </w:r>
      <w:bookmarkStart w:id="0" w:name="_GoBack"/>
      <w:bookmarkEnd w:id="0"/>
      <w:r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Il docente</w:t>
      </w:r>
    </w:p>
    <w:p>
      <w:pPr>
        <w:tabs>
          <w:tab w:val="center" w:pos="7088"/>
        </w:tabs>
        <w:snapToGrid w:val="0"/>
        <w:spacing w:before="100" w:after="1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Tiziana Ghelardini</w:t>
      </w:r>
    </w:p>
    <w:sectPr>
      <w:pgSz w:w="11906" w:h="16838"/>
      <w:pgMar w:top="142" w:right="1134" w:bottom="1134" w:left="1134" w:header="720" w:footer="720" w:gutter="0"/>
      <w:cols w:space="720" w:num="1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 Narrow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Free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00"/>
    <w:family w:val="swiss"/>
    <w:pitch w:val="default"/>
    <w:sig w:usb0="00000000" w:usb1="00000000" w:usb2="0A24602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440"/>
      </w:pPr>
    </w:lvl>
  </w:abstractNum>
  <w:abstractNum w:abstractNumId="2">
    <w:nsid w:val="51D94BAC"/>
    <w:multiLevelType w:val="multilevel"/>
    <w:tmpl w:val="51D94BA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63"/>
    <w:rsid w:val="000A6402"/>
    <w:rsid w:val="000B105C"/>
    <w:rsid w:val="001E20F6"/>
    <w:rsid w:val="001E38E8"/>
    <w:rsid w:val="001F3AB2"/>
    <w:rsid w:val="001F7E40"/>
    <w:rsid w:val="002B39FC"/>
    <w:rsid w:val="002B7DC2"/>
    <w:rsid w:val="002C6ECB"/>
    <w:rsid w:val="002E245E"/>
    <w:rsid w:val="00355987"/>
    <w:rsid w:val="00370965"/>
    <w:rsid w:val="004B7C09"/>
    <w:rsid w:val="004C29E6"/>
    <w:rsid w:val="00652914"/>
    <w:rsid w:val="00706038"/>
    <w:rsid w:val="00725306"/>
    <w:rsid w:val="00745311"/>
    <w:rsid w:val="008258EE"/>
    <w:rsid w:val="00832987"/>
    <w:rsid w:val="008607A4"/>
    <w:rsid w:val="008B0AE6"/>
    <w:rsid w:val="00933BC0"/>
    <w:rsid w:val="009935F6"/>
    <w:rsid w:val="00A0195D"/>
    <w:rsid w:val="00A16DFC"/>
    <w:rsid w:val="00A367A5"/>
    <w:rsid w:val="00B43913"/>
    <w:rsid w:val="00B442C2"/>
    <w:rsid w:val="00BE01C7"/>
    <w:rsid w:val="00BE2263"/>
    <w:rsid w:val="00C93D16"/>
    <w:rsid w:val="00CF2111"/>
    <w:rsid w:val="00E24C74"/>
    <w:rsid w:val="00E60E6B"/>
    <w:rsid w:val="00EC3676"/>
    <w:rsid w:val="00EC6CD0"/>
    <w:rsid w:val="00ED16D2"/>
    <w:rsid w:val="00F17125"/>
    <w:rsid w:val="31C7024A"/>
    <w:rsid w:val="6EA333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Calibri"/>
      <w:sz w:val="26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3">
    <w:name w:val="heading 2"/>
    <w:basedOn w:val="1"/>
    <w:next w:val="4"/>
    <w:link w:val="59"/>
    <w:qFormat/>
    <w:uiPriority w:val="0"/>
    <w:pPr>
      <w:keepNext/>
      <w:tabs>
        <w:tab w:val="left" w:pos="576"/>
      </w:tabs>
      <w:spacing w:before="200" w:after="120"/>
      <w:ind w:left="576" w:hanging="576"/>
      <w:outlineLvl w:val="1"/>
    </w:pPr>
    <w:rPr>
      <w:rFonts w:ascii="Liberation Sans" w:hAnsi="Liberation Sans" w:eastAsia="Droid Sans Fallback" w:cs="FreeSans"/>
      <w:b/>
      <w:bCs/>
      <w:kern w:val="1"/>
      <w:sz w:val="32"/>
      <w:szCs w:val="32"/>
      <w:lang w:eastAsia="zh-CN" w:bidi="hi-IN"/>
    </w:rPr>
  </w:style>
  <w:style w:type="paragraph" w:styleId="5">
    <w:name w:val="heading 3"/>
    <w:basedOn w:val="1"/>
    <w:next w:val="4"/>
    <w:link w:val="60"/>
    <w:qFormat/>
    <w:uiPriority w:val="0"/>
    <w:pPr>
      <w:keepNext/>
      <w:tabs>
        <w:tab w:val="left" w:pos="720"/>
      </w:tabs>
      <w:spacing w:before="140" w:after="120"/>
      <w:ind w:left="720" w:hanging="720"/>
      <w:outlineLvl w:val="2"/>
    </w:pPr>
    <w:rPr>
      <w:rFonts w:ascii="Liberation Sans" w:hAnsi="Liberation Sans" w:eastAsia="Droid Sans Fallback" w:cs="FreeSans"/>
      <w:b/>
      <w:bCs/>
      <w:kern w:val="1"/>
      <w:sz w:val="28"/>
      <w:szCs w:val="28"/>
      <w:lang w:eastAsia="zh-CN" w:bidi="hi-IN"/>
    </w:rPr>
  </w:style>
  <w:style w:type="paragraph" w:styleId="6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58"/>
    <w:semiHidden/>
    <w:unhideWhenUsed/>
    <w:qFormat/>
    <w:uiPriority w:val="99"/>
    <w:pPr>
      <w:spacing w:after="120" w:line="480" w:lineRule="auto"/>
    </w:pPr>
  </w:style>
  <w:style w:type="paragraph" w:styleId="11">
    <w:name w:val="Body Text Indent"/>
    <w:basedOn w:val="1"/>
    <w:link w:val="57"/>
    <w:semiHidden/>
    <w:unhideWhenUsed/>
    <w:qFormat/>
    <w:uiPriority w:val="0"/>
    <w:pPr>
      <w:suppressAutoHyphens w:val="0"/>
      <w:spacing w:after="120"/>
      <w:ind w:left="283"/>
    </w:pPr>
    <w:rPr>
      <w:rFonts w:cs="Times New Roman"/>
      <w:sz w:val="24"/>
      <w:szCs w:val="24"/>
      <w:lang w:eastAsia="it-IT"/>
    </w:rPr>
  </w:style>
  <w:style w:type="paragraph" w:styleId="12">
    <w:name w:val="footer"/>
    <w:basedOn w:val="1"/>
    <w:qFormat/>
    <w:uiPriority w:val="0"/>
    <w:pPr>
      <w:tabs>
        <w:tab w:val="center" w:pos="4819"/>
        <w:tab w:val="right" w:pos="9638"/>
      </w:tabs>
      <w:suppressAutoHyphens w:val="0"/>
    </w:pPr>
    <w:rPr>
      <w:rFonts w:ascii="Cambria" w:hAnsi="Cambria" w:eastAsia="Cambria" w:cs="Cambria"/>
      <w:sz w:val="24"/>
      <w:szCs w:val="24"/>
    </w:rPr>
  </w:style>
  <w:style w:type="paragraph" w:styleId="13">
    <w:name w:val="footnote text"/>
    <w:basedOn w:val="1"/>
    <w:qFormat/>
    <w:uiPriority w:val="0"/>
    <w:rPr>
      <w:sz w:val="20"/>
    </w:rPr>
  </w:style>
  <w:style w:type="character" w:styleId="14">
    <w:name w:val="Hyperlink"/>
    <w:uiPriority w:val="0"/>
    <w:rPr>
      <w:color w:val="000080"/>
      <w:u w:val="single"/>
    </w:rPr>
  </w:style>
  <w:style w:type="paragraph" w:styleId="15">
    <w:name w:val="List"/>
    <w:basedOn w:val="4"/>
    <w:uiPriority w:val="0"/>
    <w:rPr>
      <w:rFonts w:cs="Mangal"/>
    </w:rPr>
  </w:style>
  <w:style w:type="table" w:styleId="16">
    <w:name w:val="Table Grid"/>
    <w:basedOn w:val="8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WW8Num1z0"/>
    <w:uiPriority w:val="0"/>
  </w:style>
  <w:style w:type="character" w:customStyle="1" w:styleId="18">
    <w:name w:val="WW8Num1z1"/>
    <w:qFormat/>
    <w:uiPriority w:val="0"/>
  </w:style>
  <w:style w:type="character" w:customStyle="1" w:styleId="19">
    <w:name w:val="WW8Num1z2"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uiPriority w:val="0"/>
    <w:rPr>
      <w:rFonts w:ascii="Times New Roman" w:hAnsi="Times New Roman" w:cs="Times New Roman"/>
      <w:color w:val="000000"/>
      <w:position w:val="0"/>
      <w:sz w:val="22"/>
      <w:u w:val="none"/>
      <w:vertAlign w:val="baseline"/>
    </w:rPr>
  </w:style>
  <w:style w:type="character" w:customStyle="1" w:styleId="27">
    <w:name w:val="WW8Num2z1"/>
    <w:uiPriority w:val="0"/>
    <w:rPr>
      <w:rFonts w:ascii="Times New Roman" w:hAnsi="Times New Roman" w:cs="Times New Roman"/>
      <w:sz w:val="22"/>
    </w:rPr>
  </w:style>
  <w:style w:type="character" w:customStyle="1" w:styleId="28">
    <w:name w:val="WW8Num2z2"/>
    <w:uiPriority w:val="0"/>
  </w:style>
  <w:style w:type="character" w:customStyle="1" w:styleId="29">
    <w:name w:val="WW8Num2z3"/>
    <w:uiPriority w:val="0"/>
  </w:style>
  <w:style w:type="character" w:customStyle="1" w:styleId="30">
    <w:name w:val="WW8Num2z4"/>
    <w:uiPriority w:val="0"/>
  </w:style>
  <w:style w:type="character" w:customStyle="1" w:styleId="31">
    <w:name w:val="WW8Num2z5"/>
    <w:uiPriority w:val="0"/>
  </w:style>
  <w:style w:type="character" w:customStyle="1" w:styleId="32">
    <w:name w:val="WW8Num2z6"/>
    <w:uiPriority w:val="0"/>
  </w:style>
  <w:style w:type="character" w:customStyle="1" w:styleId="33">
    <w:name w:val="WW8Num2z7"/>
    <w:uiPriority w:val="0"/>
  </w:style>
  <w:style w:type="character" w:customStyle="1" w:styleId="34">
    <w:name w:val="WW8Num2z8"/>
    <w:uiPriority w:val="0"/>
  </w:style>
  <w:style w:type="character" w:customStyle="1" w:styleId="35">
    <w:name w:val="WW8Num3z0"/>
    <w:uiPriority w:val="0"/>
    <w:rPr>
      <w:rFonts w:ascii="Calibri" w:hAnsi="Calibri" w:cs="Arial"/>
      <w:b/>
      <w:sz w:val="20"/>
      <w:szCs w:val="18"/>
    </w:rPr>
  </w:style>
  <w:style w:type="character" w:customStyle="1" w:styleId="36">
    <w:name w:val="WW8Num3z1"/>
    <w:uiPriority w:val="0"/>
  </w:style>
  <w:style w:type="character" w:customStyle="1" w:styleId="37">
    <w:name w:val="WW8Num4z0"/>
    <w:uiPriority w:val="0"/>
    <w:rPr>
      <w:rFonts w:ascii="Calibri" w:hAnsi="Calibri" w:eastAsia="Calibri" w:cs="Times New Roman"/>
      <w:sz w:val="24"/>
    </w:rPr>
  </w:style>
  <w:style w:type="character" w:customStyle="1" w:styleId="38">
    <w:name w:val="WW8Num4z1"/>
    <w:uiPriority w:val="0"/>
    <w:rPr>
      <w:rFonts w:ascii="Courier New" w:hAnsi="Courier New" w:cs="Courier New"/>
    </w:rPr>
  </w:style>
  <w:style w:type="character" w:customStyle="1" w:styleId="39">
    <w:name w:val="WW8Num4z2"/>
    <w:uiPriority w:val="0"/>
    <w:rPr>
      <w:rFonts w:ascii="Wingdings" w:hAnsi="Wingdings" w:cs="Wingdings"/>
    </w:rPr>
  </w:style>
  <w:style w:type="character" w:customStyle="1" w:styleId="40">
    <w:name w:val="WW8Num4z3"/>
    <w:uiPriority w:val="0"/>
    <w:rPr>
      <w:rFonts w:ascii="Symbol" w:hAnsi="Symbol" w:cs="Symbol"/>
    </w:rPr>
  </w:style>
  <w:style w:type="character" w:customStyle="1" w:styleId="41">
    <w:name w:val="Car. predefinito paragrafo1"/>
    <w:uiPriority w:val="0"/>
  </w:style>
  <w:style w:type="character" w:customStyle="1" w:styleId="42">
    <w:name w:val="Titolo 1 Carattere"/>
    <w:basedOn w:val="41"/>
    <w:uiPriority w:val="0"/>
    <w:rPr>
      <w:rFonts w:ascii="Tahoma" w:hAnsi="Tahoma" w:eastAsia="Times New Roman" w:cs="Tahoma"/>
      <w:b/>
      <w:i/>
      <w:color w:val="000000"/>
    </w:rPr>
  </w:style>
  <w:style w:type="character" w:customStyle="1" w:styleId="43">
    <w:name w:val="Titolo 4 Carattere"/>
    <w:basedOn w:val="41"/>
    <w:uiPriority w:val="0"/>
    <w:rPr>
      <w:rFonts w:ascii="Tahoma" w:hAnsi="Tahoma" w:eastAsia="Times New Roman" w:cs="Tahoma"/>
      <w:b/>
      <w:color w:val="000000"/>
      <w:sz w:val="20"/>
    </w:rPr>
  </w:style>
  <w:style w:type="character" w:customStyle="1" w:styleId="44">
    <w:name w:val="Carattere della nota"/>
    <w:basedOn w:val="41"/>
    <w:uiPriority w:val="0"/>
    <w:rPr>
      <w:vertAlign w:val="superscript"/>
    </w:rPr>
  </w:style>
  <w:style w:type="character" w:customStyle="1" w:styleId="45">
    <w:name w:val="Rimando nota a piè di pagina1"/>
    <w:uiPriority w:val="0"/>
    <w:rPr>
      <w:vertAlign w:val="superscript"/>
    </w:rPr>
  </w:style>
  <w:style w:type="character" w:customStyle="1" w:styleId="46">
    <w:name w:val="Corpo del testo Carattere"/>
    <w:basedOn w:val="41"/>
    <w:uiPriority w:val="0"/>
    <w:rPr>
      <w:rFonts w:ascii="Times New Roman" w:hAnsi="Times New Roman" w:eastAsia="Times New Roman" w:cs="Calibri"/>
      <w:color w:val="000000"/>
      <w:sz w:val="26"/>
    </w:rPr>
  </w:style>
  <w:style w:type="character" w:customStyle="1" w:styleId="47">
    <w:name w:val="Testo nota a piè di pagina Carattere"/>
    <w:basedOn w:val="41"/>
    <w:uiPriority w:val="0"/>
    <w:rPr>
      <w:rFonts w:ascii="Times New Roman" w:hAnsi="Times New Roman" w:eastAsia="Times New Roman" w:cs="Calibri"/>
      <w:color w:val="000000"/>
      <w:sz w:val="20"/>
    </w:rPr>
  </w:style>
  <w:style w:type="character" w:customStyle="1" w:styleId="48">
    <w:name w:val="Piè di pagina Carattere"/>
    <w:basedOn w:val="41"/>
    <w:uiPriority w:val="0"/>
    <w:rPr>
      <w:rFonts w:ascii="Cambria" w:hAnsi="Cambria" w:eastAsia="Cambria" w:cs="Cambria"/>
      <w:color w:val="000000"/>
      <w:szCs w:val="24"/>
    </w:rPr>
  </w:style>
  <w:style w:type="character" w:customStyle="1" w:styleId="49">
    <w:name w:val="Testo fumetto Carattere"/>
    <w:basedOn w:val="41"/>
    <w:uiPriority w:val="0"/>
    <w:rPr>
      <w:rFonts w:ascii="Tahoma" w:hAnsi="Tahoma" w:eastAsia="Times New Roman" w:cs="Tahoma"/>
      <w:color w:val="000000"/>
      <w:sz w:val="16"/>
      <w:szCs w:val="16"/>
    </w:rPr>
  </w:style>
  <w:style w:type="paragraph" w:customStyle="1" w:styleId="50">
    <w:name w:val="Intestazione2"/>
    <w:basedOn w:val="1"/>
    <w:next w:val="4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1">
    <w:name w:val="Didascali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Indice"/>
    <w:basedOn w:val="1"/>
    <w:qFormat/>
    <w:uiPriority w:val="0"/>
    <w:pPr>
      <w:suppressLineNumbers/>
    </w:pPr>
    <w:rPr>
      <w:rFonts w:cs="Mangal"/>
    </w:rPr>
  </w:style>
  <w:style w:type="paragraph" w:customStyle="1" w:styleId="53">
    <w:name w:val="Intestazione1"/>
    <w:basedOn w:val="1"/>
    <w:next w:val="4"/>
    <w:qFormat/>
    <w:uiPriority w:val="0"/>
    <w:pPr>
      <w:tabs>
        <w:tab w:val="center" w:pos="4819"/>
        <w:tab w:val="right" w:pos="9638"/>
      </w:tabs>
    </w:pPr>
  </w:style>
  <w:style w:type="paragraph" w:styleId="54">
    <w:name w:val="List Paragraph"/>
    <w:basedOn w:val="1"/>
    <w:qFormat/>
    <w:uiPriority w:val="0"/>
    <w:pPr>
      <w:suppressAutoHyphens w:val="0"/>
      <w:spacing w:after="200" w:line="276" w:lineRule="auto"/>
      <w:ind w:left="720"/>
    </w:pPr>
    <w:rPr>
      <w:rFonts w:ascii="Calibri" w:hAnsi="Calibri" w:eastAsia="Calibri" w:cs="Times New Roman"/>
      <w:sz w:val="22"/>
      <w:szCs w:val="22"/>
    </w:rPr>
  </w:style>
  <w:style w:type="paragraph" w:customStyle="1" w:styleId="55">
    <w:name w:val="Contenuto tabella"/>
    <w:basedOn w:val="1"/>
    <w:qFormat/>
    <w:uiPriority w:val="0"/>
    <w:pPr>
      <w:suppressLineNumbers/>
    </w:pPr>
  </w:style>
  <w:style w:type="paragraph" w:customStyle="1" w:styleId="56">
    <w:name w:val="Intestazione tabella"/>
    <w:basedOn w:val="55"/>
    <w:qFormat/>
    <w:uiPriority w:val="0"/>
    <w:pPr>
      <w:jc w:val="center"/>
    </w:pPr>
    <w:rPr>
      <w:b/>
      <w:bCs/>
    </w:rPr>
  </w:style>
  <w:style w:type="character" w:customStyle="1" w:styleId="57">
    <w:name w:val="Rientro corpo del testo Carattere"/>
    <w:basedOn w:val="7"/>
    <w:link w:val="11"/>
    <w:semiHidden/>
    <w:qFormat/>
    <w:uiPriority w:val="0"/>
    <w:rPr>
      <w:sz w:val="24"/>
      <w:szCs w:val="24"/>
    </w:rPr>
  </w:style>
  <w:style w:type="character" w:customStyle="1" w:styleId="58">
    <w:name w:val="Corpo del testo 2 Carattere"/>
    <w:basedOn w:val="7"/>
    <w:link w:val="10"/>
    <w:semiHidden/>
    <w:qFormat/>
    <w:uiPriority w:val="99"/>
    <w:rPr>
      <w:rFonts w:cs="Calibri"/>
      <w:sz w:val="26"/>
      <w:lang w:eastAsia="ar-SA"/>
    </w:rPr>
  </w:style>
  <w:style w:type="character" w:customStyle="1" w:styleId="59">
    <w:name w:val="Titolo 2 Carattere"/>
    <w:basedOn w:val="7"/>
    <w:link w:val="3"/>
    <w:qFormat/>
    <w:uiPriority w:val="0"/>
    <w:rPr>
      <w:rFonts w:ascii="Liberation Sans" w:hAnsi="Liberation Sans" w:eastAsia="Droid Sans Fallback" w:cs="FreeSans"/>
      <w:b/>
      <w:bCs/>
      <w:kern w:val="1"/>
      <w:sz w:val="32"/>
      <w:szCs w:val="32"/>
      <w:lang w:eastAsia="zh-CN" w:bidi="hi-IN"/>
    </w:rPr>
  </w:style>
  <w:style w:type="character" w:customStyle="1" w:styleId="60">
    <w:name w:val="Titolo 3 Carattere"/>
    <w:basedOn w:val="7"/>
    <w:link w:val="5"/>
    <w:qFormat/>
    <w:uiPriority w:val="0"/>
    <w:rPr>
      <w:rFonts w:ascii="Liberation Sans" w:hAnsi="Liberation Sans" w:eastAsia="Droid Sans Fallback" w:cs="FreeSans"/>
      <w:b/>
      <w:bCs/>
      <w:kern w:val="1"/>
      <w:sz w:val="28"/>
      <w:szCs w:val="2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2420</Words>
  <Characters>13798</Characters>
  <Lines>114</Lines>
  <Paragraphs>32</Paragraphs>
  <TotalTime>14</TotalTime>
  <ScaleCrop>false</ScaleCrop>
  <LinksUpToDate>false</LinksUpToDate>
  <CharactersWithSpaces>16186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2022-12-04T17:53:00Z</dcterms:created>
  <dc:creator>fiber</dc:creator>
  <cp:lastModifiedBy>Tiziana Ghelardini</cp:lastModifiedBy>
  <cp:lastPrinted>2411-12-31T23:00:00Z</cp:lastPrinted>
  <dcterms:modified xsi:type="dcterms:W3CDTF">2023-11-28T18:46:03Z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7DE1F13BECB84517B680DD989EEDE9F1_13</vt:lpwstr>
  </property>
</Properties>
</file>